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word/_rels/document.xml.rels" ContentType="application/vnd.openxmlformats-package.relationship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media/image1.jpeg" ContentType="image/jpeg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>
  <w:background w:color="FFFFFF"/>
  <w:body>
    <w:p>
      <w:pPr>
        <w:pStyle w:val="Berschrift1"/>
        <w:numPr>
          <w:ilvl w:val="0"/>
          <w:numId w:val="1"/>
        </w:numPr>
        <w:spacing w:before="240" w:after="120"/>
        <w:rPr>
          <w:rFonts w:ascii="Arial Narrow" w:hAnsi="Arial Narrow"/>
          <w:b w:val="false"/>
          <w:bCs w:val="false"/>
          <w:i w:val="false"/>
        </w:rPr>
      </w:pPr>
      <w:r>
        <w:rPr>
          <w:rFonts w:ascii="Arial Narrow" w:hAnsi="Arial Narrow"/>
          <w:b w:val="false"/>
          <w:bCs w:val="false"/>
          <w:i w:val="false"/>
        </w:rPr>
        <w:t>11. Gliedern – zum Ordnen, als Schreibplan oder als Inhaltsverzeichnis</w:t>
      </w:r>
    </w:p>
    <w:p>
      <w:pPr>
        <w:pStyle w:val="Berschrift1"/>
        <w:numPr>
          <w:ilvl w:val="0"/>
          <w:numId w:val="1"/>
        </w:numPr>
        <w:spacing w:before="240" w:after="120"/>
        <w:rPr>
          <w:rFonts w:ascii="Arial Narrow" w:hAnsi="Arial Narrow"/>
          <w:sz w:val="22"/>
          <w:szCs w:val="24"/>
        </w:rPr>
      </w:pPr>
      <w:r>
        <w:rPr>
          <w:rFonts w:ascii="Arial Narrow" w:hAnsi="Arial Narrow"/>
          <w:sz w:val="22"/>
          <w:szCs w:val="24"/>
        </w:rPr>
      </w:r>
    </w:p>
    <w:tbl>
      <w:tblPr>
        <w:jc w:val="left"/>
        <w:tblInd w:w="55" w:type="dxa"/>
        <w:tblBorders>
          <w:top w:val="nil"/>
          <w:left w:val="nil"/>
          <w:bottom w:val="single" w:sz="2" w:space="0" w:color="000000"/>
          <w:insideH w:val="single" w:sz="2" w:space="0" w:color="000000"/>
          <w:right w:val="nil"/>
          <w:insideV w:val="nil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3576"/>
        <w:gridCol w:w="338"/>
        <w:gridCol w:w="4354"/>
        <w:gridCol w:w="6311"/>
      </w:tblGrid>
      <w:tr>
        <w:trPr>
          <w:cantSplit w:val="false"/>
        </w:trPr>
        <w:tc>
          <w:tcPr>
            <w:tcW w:w="3576" w:type="dxa"/>
            <w:vMerge w:val="restart"/>
            <w:tcBorders>
              <w:top w:val="nil"/>
              <w:left w:val="nil"/>
              <w:bottom w:val="single" w:sz="2" w:space="0" w:color="000000"/>
              <w:insideH w:val="single" w:sz="2" w:space="0" w:color="000000"/>
              <w:right w:val="nil"/>
              <w:insideV w:val="nil"/>
            </w:tcBorders>
            <w:shd w:fill="FFFFFF" w:val="clear"/>
          </w:tcPr>
          <w:p>
            <w:pPr>
              <w:pStyle w:val="Normal"/>
              <w:spacing w:lineRule="auto" w:line="288" w:before="0" w:after="113"/>
              <w:rPr>
                <w:rFonts w:cs="Arial Narrow" w:ascii="Arial Narrow" w:hAnsi="Arial Narrow"/>
                <w:sz w:val="22"/>
                <w:szCs w:val="22"/>
              </w:rPr>
            </w:pPr>
            <w:r>
              <w:rPr>
                <w:rFonts w:cs="Arial Narrow" w:ascii="Arial Narrow" w:hAnsi="Arial Narrow"/>
                <w:sz w:val="22"/>
                <w:szCs w:val="22"/>
              </w:rPr>
              <w:t>Wissenschaftliche Inhalte sind oft so komplex, dass sie überschaubar und zum Lesen aufbereitet werden müs</w:t>
              <w:softHyphen/>
              <w:t>sen. Die gesammelten Inhalte werden in verschiedene, unterscheid</w:t>
              <w:softHyphen/>
              <w:t>bare, aber zusammenhängende Teile zerl</w:t>
              <w:softHyphen/>
              <w:t>egt und zielgerichtet geordnet – geordnet in einer Gliederung.</w:t>
            </w:r>
          </w:p>
          <w:p>
            <w:pPr>
              <w:pStyle w:val="Normal"/>
              <w:spacing w:lineRule="auto" w:line="288" w:before="0" w:after="113"/>
              <w:rPr>
                <w:rFonts w:eastAsia="Arial" w:cs="Arial Narrow" w:ascii="Arial Narrow" w:hAnsi="Arial Narrow"/>
                <w:sz w:val="22"/>
                <w:szCs w:val="22"/>
              </w:rPr>
            </w:pPr>
            <w:r>
              <w:rPr>
                <w:rFonts w:eastAsia="Arial" w:cs="Arial Narrow" w:ascii="Arial Narrow" w:hAnsi="Arial Narrow"/>
                <w:sz w:val="22"/>
                <w:szCs w:val="22"/>
              </w:rPr>
              <w:t>Die inzwischen erarbeiteten, vielfäl</w:t>
              <w:softHyphen/>
              <w:t>tigen Materialien sind oft schwer zu über</w:t>
              <w:softHyphen/>
              <w:t>schauen. Eine sinnvolle Ordnung zu finden ist auf Anhieb kaum zu schaf</w:t>
              <w:softHyphen/>
              <w:t>fen. Es empfiehlt sich, vor dem Gliedern das Material zweidimen</w:t>
              <w:softHyphen/>
              <w:t xml:space="preserve">sional zu </w:t>
            </w:r>
            <w:hyperlink r:id="rId2">
              <w:r>
                <w:rPr>
                  <w:rStyle w:val="Internetlink"/>
                  <w:rFonts w:eastAsia="Arial" w:cs="Arial Narrow" w:ascii="Arial Narrow" w:hAnsi="Arial Narrow"/>
                  <w:sz w:val="22"/>
                  <w:szCs w:val="22"/>
                </w:rPr>
                <w:t>vernetzen</w:t>
              </w:r>
            </w:hyperlink>
            <w:r>
              <w:rPr>
                <w:rFonts w:eastAsia="Arial" w:cs="Arial Narrow"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33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Normal"/>
              <w:spacing w:before="0" w:after="113"/>
              <w:jc w:val="center"/>
              <w:rPr>
                <w:rFonts w:eastAsia="Arial Narrow" w:cs="Arial Narrow" w:ascii="Arial Narrow" w:hAnsi="Arial Narrow"/>
                <w:sz w:val="22"/>
                <w:szCs w:val="22"/>
              </w:rPr>
            </w:pPr>
            <w:r>
              <w:rPr>
                <w:rFonts w:eastAsia="Arial Narrow" w:cs="Arial Narrow" w:ascii="Arial Narrow" w:hAnsi="Arial Narrow"/>
                <w:sz w:val="22"/>
                <w:szCs w:val="22"/>
              </w:rPr>
              <w:t>–</w:t>
            </w:r>
          </w:p>
        </w:tc>
        <w:tc>
          <w:tcPr>
            <w:tcW w:w="4354" w:type="dxa"/>
            <w:tcBorders>
              <w:top w:val="nil"/>
              <w:left w:val="nil"/>
              <w:bottom w:val="nil"/>
              <w:insideH w:val="nil"/>
              <w:right w:val="single" w:sz="2" w:space="0" w:color="000000"/>
              <w:insideV w:val="single" w:sz="2" w:space="0" w:color="000000"/>
            </w:tcBorders>
            <w:shd w:fill="FFFFFF" w:val="clear"/>
          </w:tcPr>
          <w:p>
            <w:pPr>
              <w:pStyle w:val="Normal"/>
              <w:spacing w:before="0" w:after="113"/>
              <w:rPr>
                <w:rFonts w:cs="Arial Narrow" w:ascii="Arial Narrow" w:hAnsi="Arial Narrow"/>
                <w:sz w:val="22"/>
                <w:szCs w:val="22"/>
              </w:rPr>
            </w:pPr>
            <w:r>
              <w:rPr>
                <w:rFonts w:cs="Arial Narrow" w:ascii="Arial Narrow" w:hAnsi="Arial Narrow"/>
                <w:sz w:val="22"/>
                <w:szCs w:val="22"/>
              </w:rPr>
              <w:t>üblicherweise in dezimaler Gliederung</w:t>
            </w:r>
          </w:p>
        </w:tc>
        <w:tc>
          <w:tcPr>
            <w:tcW w:w="6311" w:type="dxa"/>
            <w:vMerge w:val="restart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Normal"/>
              <w:rPr>
                <w:rFonts w:cs="Arial Narrow" w:ascii="Arial Narrow" w:hAnsi="Arial Narrow"/>
                <w:color w:val="4C4C4C"/>
                <w:sz w:val="30"/>
                <w:szCs w:val="30"/>
              </w:rPr>
            </w:pPr>
            <w:r>
              <w:rPr>
                <w:rFonts w:cs="Arial Narrow" w:ascii="Arial Narrow" w:hAnsi="Arial Narrow"/>
                <w:color w:val="4C4C4C"/>
                <w:sz w:val="30"/>
                <w:szCs w:val="30"/>
              </w:rPr>
              <w:t>Mustergliederung für eine SFArbeit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>Einleitung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ab/>
              <w:t>Thema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ab/>
              <w:t>Fachwissenschaftliche oder gesellschaftliche Relevanz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ab/>
              <w:t>Schlüsselbegriffe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>Forschungsstand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ab/>
              <w:t>Einblick und Aktuelles zum Forschungsstand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ab/>
              <w:t>Theorien als Basis der Ausarbeitungen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ab/>
              <w:t>Repräsentative Literatur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ab/>
              <w:t>Thematische Fokusierung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>Methode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ab/>
              <w:t>Repräsentativer Überblick möglicher Methoden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ab/>
              <w:t>Begründete Auswahl der verwendeten Methode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ab/>
              <w:t>Beschreiben der Methode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>Ergebnis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ab/>
              <w:t>Bericht über die Ausarbeitungen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ab/>
              <w:t>Analyse der Zwischen- oder Teilergebnisse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ab/>
              <w:t>Darstellung des Endergebnisses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>Diskussion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ab/>
              <w:t>Einschätzung des Endergebnisses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ab/>
              <w:t>Methodenkritik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ab/>
              <w:t>Ggf. Empfehlungen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>Fazit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ab/>
              <w:t>Prägnante Darstellung des Ergebnisses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ab/>
              <w:t>Bezug zum Ausgangspunkt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ab/>
              <w:t>Einordnung des Ergebnisses in einen Gesamtzusammenhang</w:t>
            </w:r>
          </w:p>
          <w:p>
            <w:pPr>
              <w:pStyle w:val="Normal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  <w:p>
            <w:pPr>
              <w:pStyle w:val="Normal"/>
              <w:spacing w:lineRule="auto" w:line="288" w:before="0" w:after="113"/>
              <w:jc w:val="left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>Anhang mit Quellen, Glossar, ggf. Autoren- und Abbildungsverzeichnis</w:t>
            </w:r>
          </w:p>
        </w:tc>
      </w:tr>
      <w:tr>
        <w:trPr>
          <w:cantSplit w:val="false"/>
        </w:trPr>
        <w:tc>
          <w:tcPr>
            <w:tcW w:w="3576" w:type="dxa"/>
            <w:vMerge w:val="continue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Normal"/>
              <w:spacing w:before="0" w:after="113"/>
              <w:rPr>
                <w:rFonts w:eastAsia="Arial" w:cs="Arial Narrow" w:ascii="Arial Narrow" w:hAnsi="Arial Narrow"/>
                <w:sz w:val="22"/>
                <w:szCs w:val="22"/>
              </w:rPr>
            </w:pPr>
            <w:r>
              <w:rPr>
                <w:rFonts w:eastAsia="Arial" w:cs="Arial Narrow" w:ascii="Arial Narrow" w:hAnsi="Arial Narrow"/>
                <w:sz w:val="22"/>
                <w:szCs w:val="22"/>
              </w:rPr>
            </w:r>
          </w:p>
        </w:tc>
        <w:tc>
          <w:tcPr>
            <w:tcW w:w="33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Normal"/>
              <w:spacing w:before="0" w:after="113"/>
              <w:jc w:val="center"/>
              <w:rPr>
                <w:rFonts w:eastAsia="Arial Narrow" w:cs="Arial Narrow" w:ascii="Arial Narrow" w:hAnsi="Arial Narrow"/>
                <w:sz w:val="22"/>
                <w:szCs w:val="22"/>
              </w:rPr>
            </w:pPr>
            <w:r>
              <w:rPr>
                <w:rFonts w:eastAsia="Arial Narrow" w:cs="Arial Narrow" w:ascii="Arial Narrow" w:hAnsi="Arial Narrow"/>
                <w:sz w:val="22"/>
                <w:szCs w:val="22"/>
              </w:rPr>
              <w:t>–</w:t>
            </w:r>
          </w:p>
        </w:tc>
        <w:tc>
          <w:tcPr>
            <w:tcW w:w="4354" w:type="dxa"/>
            <w:tcBorders>
              <w:top w:val="nil"/>
              <w:left w:val="nil"/>
              <w:bottom w:val="nil"/>
              <w:insideH w:val="nil"/>
              <w:right w:val="single" w:sz="2" w:space="0" w:color="000000"/>
              <w:insideV w:val="single" w:sz="2" w:space="0" w:color="000000"/>
            </w:tcBorders>
            <w:shd w:fill="FFFFFF" w:val="clear"/>
          </w:tcPr>
          <w:p>
            <w:pPr>
              <w:pStyle w:val="Normal"/>
              <w:spacing w:before="0" w:after="113"/>
              <w:rPr>
                <w:rFonts w:cs="Arial Narrow" w:ascii="Arial Narrow" w:hAnsi="Arial Narrow"/>
                <w:sz w:val="22"/>
                <w:szCs w:val="22"/>
              </w:rPr>
            </w:pPr>
            <w:r>
              <w:rPr>
                <w:rFonts w:cs="Arial Narrow" w:ascii="Arial Narrow" w:hAnsi="Arial Narrow"/>
                <w:sz w:val="22"/>
                <w:szCs w:val="22"/>
              </w:rPr>
              <w:t>jeweils</w:t>
              <w:br/>
              <w:t>entweder mehrere Unterpunkte oder keine</w:t>
            </w:r>
          </w:p>
        </w:tc>
        <w:tc>
          <w:tcPr>
            <w:tcW w:w="6311" w:type="dxa"/>
            <w:vMerge w:val="continue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Normal"/>
              <w:spacing w:before="0" w:after="113"/>
              <w:rPr/>
            </w:pPr>
            <w:r>
              <w:rPr/>
            </w:r>
          </w:p>
        </w:tc>
      </w:tr>
      <w:tr>
        <w:trPr>
          <w:cantSplit w:val="false"/>
        </w:trPr>
        <w:tc>
          <w:tcPr>
            <w:tcW w:w="3576" w:type="dxa"/>
            <w:vMerge w:val="continue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Normal"/>
              <w:spacing w:before="0" w:after="113"/>
              <w:rPr>
                <w:rFonts w:eastAsia="Arial" w:cs="Arial Narrow" w:ascii="Arial Narrow" w:hAnsi="Arial Narrow"/>
                <w:sz w:val="22"/>
                <w:szCs w:val="22"/>
              </w:rPr>
            </w:pPr>
            <w:r>
              <w:rPr>
                <w:rFonts w:eastAsia="Arial" w:cs="Arial Narrow" w:ascii="Arial Narrow" w:hAnsi="Arial Narrow"/>
                <w:sz w:val="22"/>
                <w:szCs w:val="22"/>
              </w:rPr>
            </w:r>
          </w:p>
        </w:tc>
        <w:tc>
          <w:tcPr>
            <w:tcW w:w="33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Normal"/>
              <w:spacing w:before="0" w:after="113"/>
              <w:jc w:val="center"/>
              <w:rPr>
                <w:rFonts w:eastAsia="Arial Narrow" w:cs="Arial Narrow" w:ascii="Arial Narrow" w:hAnsi="Arial Narrow"/>
                <w:sz w:val="22"/>
                <w:szCs w:val="22"/>
              </w:rPr>
            </w:pPr>
            <w:r>
              <w:rPr>
                <w:rFonts w:eastAsia="Arial Narrow" w:cs="Arial Narrow" w:ascii="Arial Narrow" w:hAnsi="Arial Narrow"/>
                <w:sz w:val="22"/>
                <w:szCs w:val="22"/>
              </w:rPr>
              <w:t>–</w:t>
            </w:r>
          </w:p>
        </w:tc>
        <w:tc>
          <w:tcPr>
            <w:tcW w:w="4354" w:type="dxa"/>
            <w:tcBorders>
              <w:top w:val="nil"/>
              <w:left w:val="nil"/>
              <w:bottom w:val="nil"/>
              <w:insideH w:val="nil"/>
              <w:right w:val="single" w:sz="2" w:space="0" w:color="000000"/>
              <w:insideV w:val="single" w:sz="2" w:space="0" w:color="000000"/>
            </w:tcBorders>
            <w:shd w:fill="FFFFFF" w:val="clear"/>
          </w:tcPr>
          <w:p>
            <w:pPr>
              <w:pStyle w:val="Normal"/>
              <w:spacing w:before="0" w:after="113"/>
              <w:rPr>
                <w:rFonts w:cs="Arial Narrow" w:ascii="Arial Narrow" w:hAnsi="Arial Narrow"/>
                <w:sz w:val="22"/>
                <w:szCs w:val="22"/>
              </w:rPr>
            </w:pPr>
            <w:r>
              <w:rPr>
                <w:rFonts w:cs="Arial Narrow" w:ascii="Arial Narrow" w:hAnsi="Arial Narrow"/>
                <w:sz w:val="22"/>
                <w:szCs w:val="22"/>
              </w:rPr>
              <w:t>Formulierungen einheitlich,</w:t>
              <w:br/>
              <w:t>aussagekräftig und eindeutig</w:t>
            </w:r>
          </w:p>
        </w:tc>
        <w:tc>
          <w:tcPr>
            <w:tcW w:w="6311" w:type="dxa"/>
            <w:vMerge w:val="continue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Normal"/>
              <w:spacing w:before="0" w:after="113"/>
              <w:rPr/>
            </w:pPr>
            <w:r>
              <w:rPr/>
            </w:r>
          </w:p>
        </w:tc>
      </w:tr>
      <w:tr>
        <w:trPr>
          <w:cantSplit w:val="false"/>
        </w:trPr>
        <w:tc>
          <w:tcPr>
            <w:tcW w:w="3576" w:type="dxa"/>
            <w:vMerge w:val="continue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Normal"/>
              <w:spacing w:before="0" w:after="113"/>
              <w:rPr>
                <w:rFonts w:eastAsia="Arial" w:cs="Arial Narrow" w:ascii="Arial Narrow" w:hAnsi="Arial Narrow"/>
                <w:sz w:val="22"/>
                <w:szCs w:val="22"/>
              </w:rPr>
            </w:pPr>
            <w:r>
              <w:rPr>
                <w:rFonts w:eastAsia="Arial" w:cs="Arial Narrow" w:ascii="Arial Narrow" w:hAnsi="Arial Narrow"/>
                <w:sz w:val="22"/>
                <w:szCs w:val="22"/>
              </w:rPr>
            </w:r>
          </w:p>
        </w:tc>
        <w:tc>
          <w:tcPr>
            <w:tcW w:w="33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Normal"/>
              <w:spacing w:before="0" w:after="113"/>
              <w:jc w:val="center"/>
              <w:rPr>
                <w:rFonts w:eastAsia="Arial Narrow" w:cs="Arial Narrow" w:ascii="Arial Narrow" w:hAnsi="Arial Narrow"/>
                <w:sz w:val="22"/>
                <w:szCs w:val="22"/>
              </w:rPr>
            </w:pPr>
            <w:r>
              <w:rPr>
                <w:rFonts w:eastAsia="Arial Narrow" w:cs="Arial Narrow" w:ascii="Arial Narrow" w:hAnsi="Arial Narrow"/>
                <w:sz w:val="22"/>
                <w:szCs w:val="22"/>
              </w:rPr>
              <w:t>–</w:t>
            </w:r>
          </w:p>
        </w:tc>
        <w:tc>
          <w:tcPr>
            <w:tcW w:w="4354" w:type="dxa"/>
            <w:tcBorders>
              <w:top w:val="nil"/>
              <w:left w:val="nil"/>
              <w:bottom w:val="nil"/>
              <w:insideH w:val="nil"/>
              <w:right w:val="single" w:sz="2" w:space="0" w:color="000000"/>
              <w:insideV w:val="single" w:sz="2" w:space="0" w:color="000000"/>
            </w:tcBorders>
            <w:shd w:fill="FFFFFF" w:val="clear"/>
          </w:tcPr>
          <w:p>
            <w:pPr>
              <w:pStyle w:val="Normal"/>
              <w:spacing w:before="0" w:after="113"/>
              <w:rPr>
                <w:rFonts w:cs="Arial Narrow" w:ascii="Arial Narrow" w:hAnsi="Arial Narrow"/>
                <w:sz w:val="22"/>
                <w:szCs w:val="22"/>
              </w:rPr>
            </w:pPr>
            <w:r>
              <w:rPr>
                <w:rFonts w:cs="Arial Narrow" w:ascii="Arial Narrow" w:hAnsi="Arial Narrow"/>
                <w:sz w:val="22"/>
                <w:szCs w:val="22"/>
              </w:rPr>
              <w:t>Gliederungspunkte so formulieren,</w:t>
              <w:br/>
              <w:t>dass Inhalte und Struktur der Arbeit</w:t>
              <w:br/>
              <w:t>repräsentativ vertreten sind</w:t>
            </w:r>
          </w:p>
        </w:tc>
        <w:tc>
          <w:tcPr>
            <w:tcW w:w="6311" w:type="dxa"/>
            <w:vMerge w:val="continue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Normal"/>
              <w:spacing w:before="0" w:after="113"/>
              <w:rPr/>
            </w:pPr>
            <w:r>
              <w:rPr/>
            </w:r>
          </w:p>
        </w:tc>
      </w:tr>
      <w:tr>
        <w:trPr>
          <w:cantSplit w:val="false"/>
        </w:trPr>
        <w:tc>
          <w:tcPr>
            <w:tcW w:w="3576" w:type="dxa"/>
            <w:vMerge w:val="continue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Normal"/>
              <w:spacing w:before="0" w:after="113"/>
              <w:rPr>
                <w:rFonts w:eastAsia="Arial" w:cs="Arial Narrow" w:ascii="Arial Narrow" w:hAnsi="Arial Narrow"/>
                <w:sz w:val="22"/>
                <w:szCs w:val="22"/>
              </w:rPr>
            </w:pPr>
            <w:r>
              <w:rPr>
                <w:rFonts w:eastAsia="Arial" w:cs="Arial Narrow" w:ascii="Arial Narrow" w:hAnsi="Arial Narrow"/>
                <w:sz w:val="22"/>
                <w:szCs w:val="22"/>
              </w:rPr>
            </w:r>
          </w:p>
        </w:tc>
        <w:tc>
          <w:tcPr>
            <w:tcW w:w="33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Normal"/>
              <w:spacing w:before="0" w:after="113"/>
              <w:jc w:val="center"/>
              <w:rPr>
                <w:rFonts w:eastAsia="Arial Narrow" w:cs="Arial Narrow" w:ascii="Arial Narrow" w:hAnsi="Arial Narrow"/>
                <w:sz w:val="22"/>
                <w:szCs w:val="22"/>
              </w:rPr>
            </w:pPr>
            <w:r>
              <w:rPr>
                <w:rFonts w:eastAsia="Arial Narrow" w:cs="Arial Narrow" w:ascii="Arial Narrow" w:hAnsi="Arial Narrow"/>
                <w:sz w:val="22"/>
                <w:szCs w:val="22"/>
              </w:rPr>
              <w:t>–</w:t>
            </w:r>
          </w:p>
        </w:tc>
        <w:tc>
          <w:tcPr>
            <w:tcW w:w="4354" w:type="dxa"/>
            <w:tcBorders>
              <w:top w:val="nil"/>
              <w:left w:val="nil"/>
              <w:bottom w:val="nil"/>
              <w:insideH w:val="nil"/>
              <w:right w:val="single" w:sz="2" w:space="0" w:color="000000"/>
              <w:insideV w:val="single" w:sz="2" w:space="0" w:color="000000"/>
            </w:tcBorders>
            <w:shd w:fill="FFFFFF" w:val="clear"/>
          </w:tcPr>
          <w:p>
            <w:pPr>
              <w:pStyle w:val="Normal"/>
              <w:spacing w:before="0" w:after="113"/>
              <w:rPr>
                <w:rFonts w:cs="Arial Narrow" w:ascii="Arial Narrow" w:hAnsi="Arial Narrow"/>
                <w:sz w:val="22"/>
                <w:szCs w:val="22"/>
              </w:rPr>
            </w:pPr>
            <w:r>
              <w:rPr>
                <w:rFonts w:cs="Arial Narrow" w:ascii="Arial Narrow" w:hAnsi="Arial Narrow"/>
                <w:sz w:val="22"/>
                <w:szCs w:val="22"/>
              </w:rPr>
              <w:t>die Argumentation muss</w:t>
              <w:br/>
              <w:t>aus der Gliederung ablesbar sein</w:t>
            </w:r>
          </w:p>
        </w:tc>
        <w:tc>
          <w:tcPr>
            <w:tcW w:w="6311" w:type="dxa"/>
            <w:vMerge w:val="continue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Normal"/>
              <w:spacing w:before="0" w:after="113"/>
              <w:rPr/>
            </w:pPr>
            <w:r>
              <w:rPr/>
            </w:r>
          </w:p>
        </w:tc>
      </w:tr>
      <w:tr>
        <w:trPr>
          <w:cantSplit w:val="false"/>
        </w:trPr>
        <w:tc>
          <w:tcPr>
            <w:tcW w:w="3576" w:type="dxa"/>
            <w:vMerge w:val="continue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Normal"/>
              <w:spacing w:before="0" w:after="113"/>
              <w:rPr>
                <w:rFonts w:eastAsia="Arial" w:cs="Arial Narrow" w:ascii="Arial Narrow" w:hAnsi="Arial Narrow"/>
                <w:sz w:val="22"/>
                <w:szCs w:val="22"/>
              </w:rPr>
            </w:pPr>
            <w:r>
              <w:rPr>
                <w:rFonts w:eastAsia="Arial" w:cs="Arial Narrow" w:ascii="Arial Narrow" w:hAnsi="Arial Narrow"/>
                <w:sz w:val="22"/>
                <w:szCs w:val="22"/>
              </w:rPr>
            </w:r>
          </w:p>
        </w:tc>
        <w:tc>
          <w:tcPr>
            <w:tcW w:w="33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Normal"/>
              <w:spacing w:before="0" w:after="113"/>
              <w:jc w:val="center"/>
              <w:rPr>
                <w:rFonts w:eastAsia="Arial Narrow" w:cs="Arial Narrow" w:ascii="Arial Narrow" w:hAnsi="Arial Narrow"/>
                <w:sz w:val="22"/>
                <w:szCs w:val="22"/>
              </w:rPr>
            </w:pPr>
            <w:r>
              <w:rPr>
                <w:rFonts w:eastAsia="Arial Narrow" w:cs="Arial Narrow" w:ascii="Arial Narrow" w:hAnsi="Arial Narrow"/>
                <w:sz w:val="22"/>
                <w:szCs w:val="22"/>
              </w:rPr>
              <w:t>–</w:t>
            </w:r>
          </w:p>
        </w:tc>
        <w:tc>
          <w:tcPr>
            <w:tcW w:w="4354" w:type="dxa"/>
            <w:tcBorders>
              <w:top w:val="nil"/>
              <w:left w:val="nil"/>
              <w:bottom w:val="nil"/>
              <w:insideH w:val="nil"/>
              <w:right w:val="single" w:sz="2" w:space="0" w:color="000000"/>
              <w:insideV w:val="single" w:sz="2" w:space="0" w:color="000000"/>
            </w:tcBorders>
            <w:shd w:fill="FFFFFF" w:val="clear"/>
          </w:tcPr>
          <w:p>
            <w:pPr>
              <w:pStyle w:val="Normal"/>
              <w:spacing w:before="0" w:after="113"/>
              <w:rPr>
                <w:rFonts w:cs="Arial Narrow" w:ascii="Arial Narrow" w:hAnsi="Arial Narrow"/>
                <w:sz w:val="22"/>
                <w:szCs w:val="22"/>
              </w:rPr>
            </w:pPr>
            <w:r>
              <w:rPr>
                <w:rFonts w:cs="Arial Narrow" w:ascii="Arial Narrow" w:hAnsi="Arial Narrow"/>
                <w:sz w:val="22"/>
                <w:szCs w:val="22"/>
              </w:rPr>
              <w:t>Formulierungen optimal zwischen</w:t>
              <w:br/>
              <w:t>genau und überschaubar</w:t>
            </w:r>
          </w:p>
        </w:tc>
        <w:tc>
          <w:tcPr>
            <w:tcW w:w="6311" w:type="dxa"/>
            <w:vMerge w:val="continue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Normal"/>
              <w:spacing w:before="0" w:after="113"/>
              <w:rPr/>
            </w:pPr>
            <w:r>
              <w:rPr/>
            </w:r>
          </w:p>
        </w:tc>
      </w:tr>
      <w:tr>
        <w:trPr>
          <w:cantSplit w:val="false"/>
        </w:trPr>
        <w:tc>
          <w:tcPr>
            <w:tcW w:w="3576" w:type="dxa"/>
            <w:vMerge w:val="continue"/>
            <w:tcBorders>
              <w:top w:val="nil"/>
              <w:left w:val="nil"/>
              <w:bottom w:val="single" w:sz="2" w:space="0" w:color="000000"/>
              <w:insideH w:val="single" w:sz="2" w:space="0" w:color="000000"/>
              <w:right w:val="nil"/>
              <w:insideV w:val="nil"/>
            </w:tcBorders>
            <w:shd w:fill="FFFFFF" w:val="clear"/>
          </w:tcPr>
          <w:p>
            <w:pPr>
              <w:pStyle w:val="Normal"/>
              <w:spacing w:before="0" w:after="113"/>
              <w:rPr>
                <w:rFonts w:eastAsia="Arial" w:cs="Arial Narrow" w:ascii="Arial Narrow" w:hAnsi="Arial Narrow"/>
                <w:sz w:val="22"/>
                <w:szCs w:val="22"/>
              </w:rPr>
            </w:pPr>
            <w:r>
              <w:rPr>
                <w:rFonts w:eastAsia="Arial" w:cs="Arial Narrow" w:ascii="Arial Narrow" w:hAnsi="Arial Narrow"/>
                <w:sz w:val="22"/>
                <w:szCs w:val="22"/>
              </w:rPr>
            </w:r>
          </w:p>
        </w:tc>
        <w:tc>
          <w:tcPr>
            <w:tcW w:w="338" w:type="dxa"/>
            <w:tcBorders>
              <w:top w:val="nil"/>
              <w:left w:val="nil"/>
              <w:bottom w:val="single" w:sz="2" w:space="0" w:color="000000"/>
              <w:insideH w:val="single" w:sz="2" w:space="0" w:color="000000"/>
              <w:right w:val="nil"/>
              <w:insideV w:val="nil"/>
            </w:tcBorders>
            <w:shd w:fill="FFFFFF" w:val="clear"/>
          </w:tcPr>
          <w:p>
            <w:pPr>
              <w:pStyle w:val="Normal"/>
              <w:spacing w:before="0" w:after="113"/>
              <w:jc w:val="center"/>
              <w:rPr>
                <w:rFonts w:eastAsia="Arial Narrow" w:cs="Arial Narrow" w:ascii="Arial Narrow" w:hAnsi="Arial Narrow"/>
                <w:sz w:val="22"/>
                <w:szCs w:val="22"/>
              </w:rPr>
            </w:pPr>
            <w:r>
              <w:rPr>
                <w:rFonts w:eastAsia="Arial Narrow" w:cs="Arial Narrow" w:ascii="Arial Narrow" w:hAnsi="Arial Narrow"/>
                <w:sz w:val="22"/>
                <w:szCs w:val="22"/>
              </w:rPr>
              <w:t>–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2" w:space="0" w:color="000000"/>
              <w:insideH w:val="single" w:sz="2" w:space="0" w:color="000000"/>
              <w:right w:val="single" w:sz="2" w:space="0" w:color="000000"/>
              <w:insideV w:val="single" w:sz="2" w:space="0" w:color="000000"/>
            </w:tcBorders>
            <w:shd w:fill="FFFFFF" w:val="clear"/>
          </w:tcPr>
          <w:p>
            <w:pPr>
              <w:pStyle w:val="Normal"/>
              <w:spacing w:before="0" w:after="113"/>
              <w:rPr>
                <w:rFonts w:cs="Arial Narrow" w:ascii="Arial Narrow" w:hAnsi="Arial Narrow"/>
                <w:sz w:val="22"/>
                <w:szCs w:val="22"/>
              </w:rPr>
            </w:pPr>
            <w:r>
              <w:rPr>
                <w:rFonts w:cs="Arial Narrow" w:ascii="Arial Narrow" w:hAnsi="Arial Narrow"/>
                <w:sz w:val="22"/>
                <w:szCs w:val="22"/>
              </w:rPr>
              <w:t>mit Seitenzahlen versehen wird eine</w:t>
              <w:br/>
              <w:t>Gliederung zum Inhaltsverzeichnis</w:t>
            </w:r>
          </w:p>
        </w:tc>
        <w:tc>
          <w:tcPr>
            <w:tcW w:w="6311" w:type="dxa"/>
            <w:vMerge w:val="continue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Normal"/>
              <w:spacing w:before="0" w:after="113"/>
              <w:rPr/>
            </w:pPr>
            <w:r>
              <w:rPr/>
            </w:r>
          </w:p>
        </w:tc>
      </w:tr>
      <w:tr>
        <w:trPr>
          <w:cantSplit w:val="false"/>
        </w:trPr>
        <w:tc>
          <w:tcPr>
            <w:tcW w:w="8268" w:type="dxa"/>
            <w:gridSpan w:val="3"/>
            <w:tcBorders>
              <w:top w:val="nil"/>
              <w:left w:val="nil"/>
              <w:bottom w:val="nil"/>
              <w:insideH w:val="nil"/>
              <w:right w:val="single" w:sz="2" w:space="0" w:color="000000"/>
              <w:insideV w:val="single" w:sz="2" w:space="0" w:color="000000"/>
            </w:tcBorders>
            <w:shd w:fill="FFFFFF" w:val="clear"/>
          </w:tcPr>
          <w:p>
            <w:pPr>
              <w:pStyle w:val="Normal"/>
              <w:spacing w:lineRule="auto" w:line="288" w:before="0" w:after="113"/>
              <w:rPr>
                <w:rFonts w:eastAsia="Arial Unicode MS" w:cs="Arial Narrow" w:ascii="Arial Narrow" w:hAnsi="Arial Narrow"/>
                <w:b w:val="false"/>
                <w:i w:val="false"/>
                <w:color w:val="333333"/>
                <w:sz w:val="22"/>
                <w:szCs w:val="22"/>
                <w:lang w:val="de-DE" w:eastAsia="zh-CN" w:bidi="hi-IN"/>
              </w:rPr>
            </w:pPr>
            <w:r>
              <w:rPr>
                <w:rFonts w:eastAsia="Arial Unicode MS" w:cs="Arial Narrow" w:ascii="Arial Narrow" w:hAnsi="Arial Narrow"/>
                <w:b w:val="false"/>
                <w:i w:val="false"/>
                <w:color w:val="333333"/>
                <w:sz w:val="22"/>
                <w:szCs w:val="22"/>
                <w:lang w:val="de-DE" w:eastAsia="zh-CN" w:bidi="hi-IN"/>
              </w:rPr>
              <w:t>Zur Übung:</w:t>
            </w:r>
          </w:p>
          <w:p>
            <w:pPr>
              <w:pStyle w:val="Normal"/>
              <w:spacing w:lineRule="auto" w:line="288" w:before="0" w:after="113"/>
              <w:rPr>
                <w:rFonts w:eastAsia="Arial Unicode MS" w:cs="Arial Narrow" w:ascii="Arial Narrow" w:hAnsi="Arial Narrow"/>
                <w:b w:val="false"/>
                <w:i w:val="false"/>
                <w:color w:val="333333"/>
                <w:sz w:val="22"/>
                <w:szCs w:val="22"/>
                <w:lang w:val="de-DE" w:eastAsia="zh-CN" w:bidi="hi-IN"/>
              </w:rPr>
            </w:pPr>
            <w:r>
              <w:rPr>
                <w:rFonts w:eastAsia="Arial Unicode MS" w:cs="Arial Narrow" w:ascii="Arial Narrow" w:hAnsi="Arial Narrow"/>
                <w:b w:val="false"/>
                <w:i w:val="false"/>
                <w:color w:val="333333"/>
                <w:sz w:val="22"/>
                <w:szCs w:val="22"/>
                <w:lang w:val="de-DE" w:eastAsia="zh-CN" w:bidi="hi-IN"/>
              </w:rPr>
              <w:t>Umseitge Gliederung einer SFArbeit mit dem Thema</w:t>
              <w:br/>
              <w:t xml:space="preserve">„Kulturelle und wirtschaftliche Bedeutung von Schiefer im Thüringer Schiefergebirge </w:t>
              <w:br/>
              <w:t>am Beispiel des Staatsbruchs in Lehesten“</w:t>
              <w:br/>
              <w:t>ist zu analysieren und kritisch zu bewerten, um sie schließlich zu korrigieren!</w:t>
              <w:br/>
            </w:r>
          </w:p>
          <w:p>
            <w:pPr>
              <w:pStyle w:val="Normal"/>
              <w:spacing w:lineRule="auto" w:line="288" w:before="0" w:after="113"/>
              <w:jc w:val="left"/>
              <w:rPr>
                <w:rFonts w:eastAsia="Arial Unicode MS" w:cs="Arial Narrow" w:ascii="Arial Narrow" w:hAnsi="Arial Narrow"/>
                <w:b w:val="false"/>
                <w:i w:val="false"/>
                <w:color w:val="333333"/>
                <w:sz w:val="22"/>
                <w:szCs w:val="22"/>
                <w:lang w:val="de-DE" w:eastAsia="zh-CN" w:bidi="hi-IN"/>
              </w:rPr>
            </w:pPr>
            <w:r>
              <w:rPr>
                <w:rFonts w:eastAsia="Arial Unicode MS" w:cs="Arial Narrow" w:ascii="Arial Narrow" w:hAnsi="Arial Narrow"/>
                <w:b w:val="false"/>
                <w:i w:val="false"/>
                <w:color w:val="333333"/>
                <w:sz w:val="22"/>
                <w:szCs w:val="22"/>
                <w:lang w:val="de-DE" w:eastAsia="zh-CN" w:bidi="hi-IN"/>
              </w:rPr>
              <w:t>Aus dem Vorwort:</w:t>
              <w:br/>
              <w:t xml:space="preserve">„Unser Untersuchungsinteresse beruhte hierbei vorrangig auf der Frage nach der Bedeutung </w:t>
              <w:br/>
              <w:t xml:space="preserve">und der Verwendung des Schiefers in der heutigen Zeit, besonders im Vergleich zu den </w:t>
              <w:br/>
              <w:t xml:space="preserve">Hochzeiten der Schieferproduktion. In diesem Zusammenhang wollten wir herausfinden ob </w:t>
              <w:br/>
              <w:t>der Schiefer noch immer den Beinamen „Blaues Gold“ verdient.“ (Schiefer 2015, S. 1)</w:t>
            </w:r>
          </w:p>
        </w:tc>
        <w:tc>
          <w:tcPr>
            <w:tcW w:w="6311" w:type="dxa"/>
            <w:vMerge w:val="continue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Normal"/>
              <w:spacing w:before="0" w:after="113"/>
              <w:rPr/>
            </w:pPr>
            <w:r>
              <w:rPr/>
            </w:r>
          </w:p>
        </w:tc>
      </w:tr>
    </w:tbl>
    <w:p>
      <w:pPr>
        <w:pStyle w:val="Normal"/>
        <w:spacing w:lineRule="auto" w:line="288" w:before="0" w:after="113"/>
        <w:rPr/>
      </w:pPr>
      <w:r>
        <w:rPr/>
      </w:r>
    </w:p>
    <w:p>
      <w:pPr>
        <w:pStyle w:val="Normal"/>
        <w:spacing w:lineRule="auto" w:line="288" w:before="0" w:after="113"/>
        <w:rPr/>
      </w:pPr>
      <w:r>
        <w:rPr/>
      </w:r>
    </w:p>
    <w:p>
      <w:pPr>
        <w:pStyle w:val="Normal"/>
        <w:spacing w:lineRule="auto" w:line="288" w:before="0" w:after="113"/>
        <w:jc w:val="left"/>
        <w:rPr/>
      </w:pPr>
      <w:r>
        <w:rPr/>
        <w:drawing>
          <wp:anchor behindDoc="0" distT="0" distB="0" distL="0" distR="0" simplePos="0" locked="0" layoutInCell="1" allowOverlap="1" relativeHeight="0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9251950" cy="6560820"/>
            <wp:effectExtent l="0" t="0" r="0" b="0"/>
            <wp:wrapSquare wrapText="largest"/>
            <wp:docPr id="0" name="Picture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60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>
      <w:type w:val="nextPage"/>
      <w:pgSz w:orient="landscape" w:w="16838" w:h="11906"/>
      <w:pgMar w:left="1134" w:right="1134" w:header="0" w:top="567" w:footer="0" w:bottom="567" w:gutter="0"/>
      <w:pgNumType w:fmt="decimal"/>
      <w:formProt w:val="false"/>
      <w:textDirection w:val="lrTb"/>
      <w:docGrid w:type="default" w:linePitch="312" w:charSpace="4294965247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Akkurat-Light">
    <w:charset w:val="01"/>
    <w:family w:val="auto"/>
    <w:pitch w:val="default"/>
  </w:font>
  <w:font w:name="Arial Narrow">
    <w:charset w:val="01"/>
    <w:family w:val="auto"/>
    <w:pitch w:val="default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none"/>
      <w:suff w:val="nothing"/>
      <w:lvlText w:val=""/>
      <w:lvlJc w:val="left"/>
      <w:pPr>
        <w:ind w:left="432" w:hanging="432"/>
      </w:pPr>
    </w:lvl>
    <w:lvl w:ilvl="1">
      <w:start w:val="1"/>
      <w:numFmt w:val="none"/>
      <w:suff w:val="nothing"/>
      <w:lvlText w:val=""/>
      <w:lvlJc w:val="left"/>
      <w:pPr>
        <w:ind w:left="576" w:hanging="576"/>
      </w:pPr>
    </w:lvl>
    <w:lvl w:ilvl="2">
      <w:start w:val="1"/>
      <w:numFmt w:val="none"/>
      <w:suff w:val="nothing"/>
      <w:lvlText w:val=""/>
      <w:lvlJc w:val="left"/>
      <w:pPr>
        <w:ind w:left="720" w:hanging="720"/>
      </w:pPr>
    </w:lvl>
    <w:lvl w:ilvl="3">
      <w:start w:val="1"/>
      <w:numFmt w:val="none"/>
      <w:suff w:val="nothing"/>
      <w:lvlText w:val=""/>
      <w:lvlJc w:val="left"/>
      <w:pPr>
        <w:ind w:left="864" w:hanging="864"/>
      </w:pPr>
    </w:lvl>
    <w:lvl w:ilvl="4">
      <w:start w:val="1"/>
      <w:numFmt w:val="none"/>
      <w:suff w:val="nothing"/>
      <w:lvlText w:val=""/>
      <w:lvlJc w:val="left"/>
      <w:pPr>
        <w:ind w:left="1008" w:hanging="1008"/>
      </w:pPr>
    </w:lvl>
    <w:lvl w:ilvl="5">
      <w:start w:val="1"/>
      <w:numFmt w:val="none"/>
      <w:suff w:val="nothing"/>
      <w:lvlText w:val=""/>
      <w:lvlJc w:val="left"/>
      <w:pPr>
        <w:ind w:left="1152" w:hanging="1152"/>
      </w:pPr>
    </w:lvl>
    <w:lvl w:ilvl="6">
      <w:start w:val="1"/>
      <w:numFmt w:val="none"/>
      <w:suff w:val="nothing"/>
      <w:lvlText w:val=""/>
      <w:lvlJc w:val="left"/>
      <w:pPr>
        <w:ind w:left="1296" w:hanging="1296"/>
      </w:pPr>
    </w:lvl>
    <w:lvl w:ilvl="7">
      <w:start w:val="1"/>
      <w:numFmt w:val="none"/>
      <w:suff w:val="nothing"/>
      <w:lvlText w:val=""/>
      <w:lvlJc w:val="left"/>
      <w:pPr>
        <w:ind w:left="1440" w:hanging="1440"/>
      </w:pPr>
    </w:lvl>
    <w:lvl w:ilvl="8">
      <w:start w:val="1"/>
      <w:numFmt w:val="none"/>
      <w:suff w:val="nothing"/>
      <w:lvlText w:val=""/>
      <w:lvlJc w:val="left"/>
      <w:pPr>
        <w:ind w:left="1584" w:hanging="1584"/>
      </w:pPr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40"/>
  <w:displayBackgroundShape/>
  <w:defaultTabStop w:val="720"/>
</w:settings>
</file>

<file path=word/styles.xml><?xml version="1.0" encoding="utf-8"?>
<w:styles xmlns:w="http://schemas.openxmlformats.org/wordprocessingml/2006/main">
  <w:docDefaults>
    <w:rPrDefault>
      <w:rPr>
        <w:rFonts w:ascii="Akkurat-Light" w:hAnsi="Akkurat-Light" w:eastAsia="Arial Unicode MS" w:cs="Lucida Sans"/>
        <w:sz w:val="22"/>
        <w:szCs w:val="24"/>
        <w:lang w:val="de-DE" w:eastAsia="zh-CN" w:bidi="hi-IN"/>
      </w:rPr>
    </w:rPrDefault>
    <w:pPrDefault>
      <w:pPr/>
    </w:pPrDefault>
  </w:docDefaults>
  <w:style w:type="paragraph" w:styleId="Normal">
    <w:name w:val="Normal"/>
    <w:pPr>
      <w:widowControl w:val="false"/>
      <w:suppressAutoHyphens w:val="true"/>
      <w:bidi w:val="0"/>
      <w:jc w:val="left"/>
    </w:pPr>
    <w:rPr>
      <w:rFonts w:ascii="Akkurat-Light" w:hAnsi="Akkurat-Light" w:eastAsia="Arial Unicode MS" w:cs="Lucida Sans"/>
      <w:color w:val="00000A"/>
      <w:sz w:val="22"/>
      <w:szCs w:val="24"/>
      <w:lang w:val="de-DE" w:eastAsia="zh-CN" w:bidi="hi-IN"/>
    </w:rPr>
  </w:style>
  <w:style w:type="paragraph" w:styleId="Berschrift1">
    <w:name w:val="Überschrift 1"/>
    <w:basedOn w:val="Berschrift"/>
    <w:pPr>
      <w:spacing w:before="240" w:after="120"/>
      <w:outlineLvl w:val="0"/>
    </w:pPr>
    <w:rPr>
      <w:b/>
      <w:bCs/>
      <w:sz w:val="36"/>
      <w:szCs w:val="36"/>
    </w:rPr>
  </w:style>
  <w:style w:type="character" w:styleId="Internetlink">
    <w:name w:val="Internetlink"/>
    <w:rPr>
      <w:color w:val="000080"/>
      <w:u w:val="single"/>
      <w:lang w:val="zxx" w:eastAsia="zxx" w:bidi="zxx"/>
    </w:rPr>
  </w:style>
  <w:style w:type="paragraph" w:styleId="Berschrift">
    <w:name w:val="Überschrift"/>
    <w:basedOn w:val="Normal"/>
    <w:next w:val="Textkrper"/>
    <w:pPr>
      <w:keepNext/>
      <w:spacing w:before="240" w:after="120"/>
    </w:pPr>
    <w:rPr>
      <w:rFonts w:ascii="Akkurat-Light" w:hAnsi="Akkurat-Light" w:eastAsia="Arial Unicode MS" w:cs="Lucida Sans"/>
      <w:sz w:val="22"/>
      <w:szCs w:val="28"/>
    </w:rPr>
  </w:style>
  <w:style w:type="paragraph" w:styleId="Textkrper">
    <w:name w:val="Textkörper"/>
    <w:basedOn w:val="Normal"/>
    <w:pPr>
      <w:spacing w:lineRule="auto" w:line="288" w:before="0" w:after="140"/>
    </w:pPr>
    <w:rPr/>
  </w:style>
  <w:style w:type="paragraph" w:styleId="Liste">
    <w:name w:val="Liste"/>
    <w:basedOn w:val="Textkrper"/>
    <w:pPr/>
    <w:rPr>
      <w:rFonts w:ascii="Akkurat-Light" w:hAnsi="Akkurat-Light" w:cs="Lucida Sans"/>
    </w:rPr>
  </w:style>
  <w:style w:type="paragraph" w:styleId="Beschriftung">
    <w:name w:val="Beschriftung"/>
    <w:basedOn w:val="Normal"/>
    <w:pPr>
      <w:suppressLineNumbers/>
      <w:spacing w:before="120" w:after="120"/>
    </w:pPr>
    <w:rPr>
      <w:rFonts w:ascii="Akkurat-Light" w:hAnsi="Akkurat-Light" w:cs="Lucida Sans"/>
      <w:i/>
      <w:iCs/>
      <w:sz w:val="22"/>
      <w:szCs w:val="24"/>
    </w:rPr>
  </w:style>
  <w:style w:type="paragraph" w:styleId="Verzeichnis">
    <w:name w:val="Verzeichnis"/>
    <w:basedOn w:val="Normal"/>
    <w:pPr>
      <w:suppressLineNumbers/>
    </w:pPr>
    <w:rPr>
      <w:rFonts w:ascii="Akkurat-Light" w:hAnsi="Akkurat-Light" w:cs="Lucida Sans"/>
    </w:rPr>
  </w:style>
  <w:style w:type="paragraph" w:styleId="TabellenInhalt">
    <w:name w:val="Tabellen Inhalt"/>
    <w:basedOn w:val="Normal"/>
    <w:pPr>
      <w:suppressLineNumbers/>
    </w:pPr>
    <w:rPr/>
  </w:style>
  <w:style w:type="paragraph" w:styleId="Tabellenberschrift">
    <w:name w:val="Tabellen Überschrift"/>
    <w:basedOn w:val="TabellenInhalt"/>
    <w:pPr>
      <w:suppressLineNumbers/>
      <w:jc w:val="center"/>
    </w:pPr>
    <w:rPr>
      <w:b/>
      <w:bCs/>
    </w:rPr>
  </w:style>
  <w:style w:type="paragraph" w:styleId="Rahmeninhalt">
    <w:name w:val="Rahmeninhalt"/>
    <w:basedOn w:val="Normal"/>
    <w:pPr/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yperlink" Target="http://www.mithw.de/dat/wp/2300.html" TargetMode="External"/><Relationship Id="rId3" Type="http://schemas.openxmlformats.org/officeDocument/2006/relationships/image" Target="media/image1.jpeg"/><Relationship Id="rId4" Type="http://schemas.openxmlformats.org/officeDocument/2006/relationships/numbering" Target="numbering.xml"/><Relationship Id="rId5" Type="http://schemas.openxmlformats.org/officeDocument/2006/relationships/fontTable" Target="fontTable.xml"/><Relationship Id="rId6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otalTime>988304</TotalTime>
  <Application>LibreOffice/4.2.8.2$MacOSX_x86 LibreOffice_project/48d50dbfc06349262c9d50868e5c1f630a573ebd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2016-04-11T18:08:17Z</dcterms:created>
  <dc:language>de-DE</dc:language>
  <cp:lastPrinted>2018-08-21T18:16:46Z</cp:lastPrinted>
  <cp:revision>0</cp:revision>
</cp:coreProperties>
</file>